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590"/>
        <w:gridCol w:w="2589"/>
        <w:gridCol w:w="2590"/>
        <w:gridCol w:w="2590"/>
        <w:gridCol w:w="2590"/>
      </w:tblGrid>
      <w:tr w:rsidR="00135D3B" w:rsidTr="002F35AF">
        <w:tc>
          <w:tcPr>
            <w:tcW w:w="2590" w:type="dxa"/>
          </w:tcPr>
          <w:p w:rsidR="00135D3B" w:rsidRDefault="00135D3B"/>
        </w:tc>
        <w:tc>
          <w:tcPr>
            <w:tcW w:w="2589" w:type="dxa"/>
          </w:tcPr>
          <w:p w:rsidR="00135D3B" w:rsidRDefault="00236EF8">
            <w:r>
              <w:t>Capstone (4</w:t>
            </w:r>
            <w:bookmarkStart w:id="0" w:name="_GoBack"/>
            <w:bookmarkEnd w:id="0"/>
            <w:r w:rsidR="00135D3B">
              <w:t>)</w:t>
            </w:r>
          </w:p>
        </w:tc>
        <w:tc>
          <w:tcPr>
            <w:tcW w:w="2590" w:type="dxa"/>
          </w:tcPr>
          <w:p w:rsidR="00135D3B" w:rsidRDefault="00135D3B" w:rsidP="00F950EE">
            <w:r>
              <w:t>Milestone (3)</w:t>
            </w:r>
          </w:p>
        </w:tc>
        <w:tc>
          <w:tcPr>
            <w:tcW w:w="2590" w:type="dxa"/>
          </w:tcPr>
          <w:p w:rsidR="00135D3B" w:rsidRDefault="00135D3B" w:rsidP="00F950EE">
            <w:r>
              <w:t>Milestone (2)</w:t>
            </w:r>
          </w:p>
        </w:tc>
        <w:tc>
          <w:tcPr>
            <w:tcW w:w="2590" w:type="dxa"/>
          </w:tcPr>
          <w:p w:rsidR="00135D3B" w:rsidRDefault="00135D3B" w:rsidP="00F950EE">
            <w:r>
              <w:t>Benchmark (1)</w:t>
            </w:r>
          </w:p>
        </w:tc>
      </w:tr>
      <w:tr w:rsidR="00135D3B" w:rsidTr="002F35AF">
        <w:tc>
          <w:tcPr>
            <w:tcW w:w="2590" w:type="dxa"/>
          </w:tcPr>
          <w:p w:rsidR="00135D3B" w:rsidRPr="00FE77FD" w:rsidRDefault="00135D3B">
            <w:pPr>
              <w:rPr>
                <w:b/>
              </w:rPr>
            </w:pPr>
            <w:r w:rsidRPr="00FE77FD">
              <w:rPr>
                <w:b/>
              </w:rPr>
              <w:t>(EL01)</w:t>
            </w:r>
          </w:p>
          <w:p w:rsidR="00135D3B" w:rsidRDefault="00135D3B" w:rsidP="00F950EE">
            <w:r w:rsidRPr="00FE77FD">
              <w:rPr>
                <w:b/>
              </w:rPr>
              <w:t xml:space="preserve">Students </w:t>
            </w:r>
            <w:r>
              <w:rPr>
                <w:b/>
              </w:rPr>
              <w:t>understand some of the political, economic, cultural, physical, social, and philosophical aspects of one or more of the world’s nations, peoples and cultures outside of the United States</w:t>
            </w:r>
          </w:p>
        </w:tc>
        <w:tc>
          <w:tcPr>
            <w:tcW w:w="2589" w:type="dxa"/>
          </w:tcPr>
          <w:p w:rsidR="00135D3B" w:rsidRDefault="00135D3B" w:rsidP="00F950EE">
            <w:r>
              <w:t xml:space="preserve">Critically analyzes and applies knowledge of the role of </w:t>
            </w:r>
            <w:r w:rsidRPr="00F950EE">
              <w:t>economic, cultural, physical, social</w:t>
            </w:r>
            <w:r>
              <w:t xml:space="preserve"> or</w:t>
            </w:r>
            <w:r w:rsidRPr="00F950EE">
              <w:t xml:space="preserve"> philosophical aspects of one or more of the world’s nations, peoples and cultures outside of the United States</w:t>
            </w:r>
            <w:r>
              <w:t xml:space="preserve"> with respect to the etiology or treatment of the health problem</w:t>
            </w:r>
          </w:p>
        </w:tc>
        <w:tc>
          <w:tcPr>
            <w:tcW w:w="2590" w:type="dxa"/>
          </w:tcPr>
          <w:p w:rsidR="00135D3B" w:rsidRPr="008A381E" w:rsidRDefault="00135D3B" w:rsidP="00F950EE">
            <w:pPr>
              <w:autoSpaceDE w:val="0"/>
              <w:autoSpaceDN w:val="0"/>
              <w:adjustRightInd w:val="0"/>
            </w:pPr>
            <w:r w:rsidRPr="008A381E">
              <w:t xml:space="preserve">Explains </w:t>
            </w:r>
            <w:r w:rsidRPr="008A381E">
              <w:rPr>
                <w:rFonts w:cs="Garamond"/>
              </w:rPr>
              <w:t xml:space="preserve">the role of </w:t>
            </w:r>
            <w:r w:rsidRPr="00F950EE">
              <w:t xml:space="preserve">economic, cultural, physical, social, </w:t>
            </w:r>
            <w:r>
              <w:t xml:space="preserve">or </w:t>
            </w:r>
            <w:r w:rsidRPr="00F950EE">
              <w:t>philosophical aspects of one or more of the world’s nations, peoples and cultures outside of the United States</w:t>
            </w:r>
            <w:r>
              <w:t xml:space="preserve"> with respect to the etiology or treatment of the health problem</w:t>
            </w:r>
          </w:p>
        </w:tc>
        <w:tc>
          <w:tcPr>
            <w:tcW w:w="2590" w:type="dxa"/>
          </w:tcPr>
          <w:p w:rsidR="00135D3B" w:rsidRPr="008A381E" w:rsidRDefault="005C5910" w:rsidP="00F950EE">
            <w:pPr>
              <w:autoSpaceDE w:val="0"/>
              <w:autoSpaceDN w:val="0"/>
              <w:adjustRightInd w:val="0"/>
            </w:pPr>
            <w:r>
              <w:t>Describes with some depth the</w:t>
            </w:r>
            <w:r w:rsidRPr="008A381E">
              <w:t xml:space="preserve"> </w:t>
            </w:r>
            <w:r w:rsidRPr="00F950EE">
              <w:t>role of economic, cultural, physical, social, or philosophical aspects of one or more of the world’s nations, peoples and cultures outside of the United States with respect to the etiology or treatment of the health problem</w:t>
            </w:r>
          </w:p>
        </w:tc>
        <w:tc>
          <w:tcPr>
            <w:tcW w:w="2590" w:type="dxa"/>
          </w:tcPr>
          <w:p w:rsidR="00135D3B" w:rsidRPr="008A381E" w:rsidRDefault="005C5910" w:rsidP="00554B2E">
            <w:r>
              <w:t>Superficially describes of</w:t>
            </w:r>
            <w:r w:rsidR="00135D3B" w:rsidRPr="008A381E">
              <w:t xml:space="preserve"> the </w:t>
            </w:r>
            <w:r w:rsidR="00135D3B" w:rsidRPr="00F950EE">
              <w:t>role of economic, cultural, physical, social, or philosophical aspects of one or more of the world’s nations, peoples and cultures outside of the United States with respect to the etiology or treatment of the health problem</w:t>
            </w:r>
          </w:p>
        </w:tc>
      </w:tr>
      <w:tr w:rsidR="00135D3B" w:rsidTr="002F35AF">
        <w:tc>
          <w:tcPr>
            <w:tcW w:w="2590" w:type="dxa"/>
          </w:tcPr>
          <w:p w:rsidR="00135D3B" w:rsidRPr="00FE77FD" w:rsidRDefault="00135D3B">
            <w:pPr>
              <w:rPr>
                <w:b/>
              </w:rPr>
            </w:pPr>
            <w:r w:rsidRPr="00FE77FD">
              <w:rPr>
                <w:b/>
              </w:rPr>
              <w:t>(EL02)</w:t>
            </w:r>
          </w:p>
          <w:p w:rsidR="00135D3B" w:rsidRDefault="00135D3B" w:rsidP="00F950EE">
            <w:r w:rsidRPr="00FE77FD">
              <w:rPr>
                <w:b/>
              </w:rPr>
              <w:t xml:space="preserve">Students recognize the role of </w:t>
            </w:r>
            <w:r>
              <w:rPr>
                <w:b/>
              </w:rPr>
              <w:t xml:space="preserve">national and international diversity in shaping their own attitudes and values as global citizens. </w:t>
            </w:r>
          </w:p>
        </w:tc>
        <w:tc>
          <w:tcPr>
            <w:tcW w:w="2589" w:type="dxa"/>
          </w:tcPr>
          <w:p w:rsidR="00135D3B" w:rsidRDefault="00135D3B" w:rsidP="00F950EE">
            <w:r>
              <w:t xml:space="preserve">Critically analyze the role of national and international diversity in shaping how both the U.S., the country affected, and the world responds to the public health problem.  </w:t>
            </w:r>
          </w:p>
        </w:tc>
        <w:tc>
          <w:tcPr>
            <w:tcW w:w="2590" w:type="dxa"/>
          </w:tcPr>
          <w:p w:rsidR="00135D3B" w:rsidRDefault="00135D3B" w:rsidP="006340A1">
            <w:r w:rsidRPr="00135D3B">
              <w:t xml:space="preserve">Explain the role of national and international diversity in shaping how both the U.S., the country affected, and the world responds to the public health problem.  </w:t>
            </w:r>
          </w:p>
        </w:tc>
        <w:tc>
          <w:tcPr>
            <w:tcW w:w="2590" w:type="dxa"/>
          </w:tcPr>
          <w:p w:rsidR="00135D3B" w:rsidRDefault="00135D3B" w:rsidP="00135D3B">
            <w:r w:rsidRPr="00135D3B">
              <w:t xml:space="preserve">Shows </w:t>
            </w:r>
            <w:r>
              <w:t xml:space="preserve">some </w:t>
            </w:r>
            <w:r w:rsidRPr="00135D3B">
              <w:t xml:space="preserve">awareness of the role of national and international diversity in shaping how both the U.S., the country affected, and the world responds to the public health problem.  </w:t>
            </w:r>
          </w:p>
        </w:tc>
        <w:tc>
          <w:tcPr>
            <w:tcW w:w="2590" w:type="dxa"/>
          </w:tcPr>
          <w:p w:rsidR="00135D3B" w:rsidRDefault="00135D3B" w:rsidP="00135D3B">
            <w:r>
              <w:t xml:space="preserve">Shows little awareness of </w:t>
            </w:r>
            <w:r w:rsidRPr="00F950EE">
              <w:t xml:space="preserve">the role of national and international diversity in shaping how both the U.S., the country affected, and the world responds to the public health problem.  </w:t>
            </w:r>
          </w:p>
        </w:tc>
      </w:tr>
    </w:tbl>
    <w:p w:rsidR="00802046" w:rsidRDefault="00236EF8"/>
    <w:p w:rsidR="007842FD" w:rsidRPr="007842FD" w:rsidRDefault="007842FD" w:rsidP="007842FD">
      <w:pPr>
        <w:tabs>
          <w:tab w:val="center" w:pos="4680"/>
          <w:tab w:val="left" w:pos="5040"/>
          <w:tab w:val="left" w:pos="5760"/>
          <w:tab w:val="left" w:pos="6480"/>
          <w:tab w:val="left" w:pos="7200"/>
          <w:tab w:val="left" w:pos="7920"/>
          <w:tab w:val="left" w:pos="8640"/>
          <w:tab w:val="left" w:pos="9360"/>
        </w:tabs>
        <w:spacing w:line="225" w:lineRule="exact"/>
        <w:rPr>
          <w:b/>
        </w:rPr>
      </w:pPr>
      <w:r w:rsidRPr="007842FD">
        <w:rPr>
          <w:b/>
        </w:rPr>
        <w:t>Assignment to Evaluate ELO 1</w:t>
      </w:r>
      <w:r w:rsidR="00630F6A">
        <w:rPr>
          <w:b/>
        </w:rPr>
        <w:t xml:space="preserve"> and 2</w:t>
      </w:r>
    </w:p>
    <w:p w:rsidR="00630F6A" w:rsidRDefault="00630F6A" w:rsidP="00630F6A">
      <w:pPr>
        <w:pStyle w:val="BodyText"/>
        <w:spacing w:before="69" w:line="237" w:lineRule="auto"/>
        <w:ind w:left="-180" w:right="132"/>
        <w:rPr>
          <w:rFonts w:cs="Times New Roman"/>
        </w:rPr>
      </w:pPr>
      <w:r>
        <w:t>For</w:t>
      </w:r>
      <w:r>
        <w:rPr>
          <w:spacing w:val="-1"/>
        </w:rPr>
        <w:t xml:space="preserve"> </w:t>
      </w:r>
      <w:r>
        <w:t>the</w:t>
      </w:r>
      <w:r>
        <w:rPr>
          <w:spacing w:val="1"/>
        </w:rPr>
        <w:t xml:space="preserve"> </w:t>
      </w:r>
      <w:r>
        <w:rPr>
          <w:spacing w:val="-2"/>
        </w:rPr>
        <w:t>final</w:t>
      </w:r>
      <w:r>
        <w:rPr>
          <w:spacing w:val="2"/>
        </w:rPr>
        <w:t xml:space="preserve"> </w:t>
      </w:r>
      <w:r>
        <w:rPr>
          <w:spacing w:val="-2"/>
        </w:rPr>
        <w:t>video</w:t>
      </w:r>
      <w:r>
        <w:rPr>
          <w:spacing w:val="6"/>
        </w:rPr>
        <w:t xml:space="preserve"> </w:t>
      </w:r>
      <w:r>
        <w:rPr>
          <w:spacing w:val="-1"/>
        </w:rPr>
        <w:t>assignment,</w:t>
      </w:r>
      <w:r>
        <w:rPr>
          <w:spacing w:val="4"/>
        </w:rPr>
        <w:t xml:space="preserve"> </w:t>
      </w:r>
      <w:r>
        <w:rPr>
          <w:spacing w:val="-2"/>
        </w:rPr>
        <w:t>you</w:t>
      </w:r>
      <w:r>
        <w:rPr>
          <w:spacing w:val="2"/>
        </w:rPr>
        <w:t xml:space="preserve"> </w:t>
      </w:r>
      <w:r>
        <w:rPr>
          <w:spacing w:val="-2"/>
        </w:rPr>
        <w:t xml:space="preserve">will </w:t>
      </w:r>
      <w:r>
        <w:rPr>
          <w:spacing w:val="1"/>
        </w:rPr>
        <w:t>work</w:t>
      </w:r>
      <w:r>
        <w:rPr>
          <w:spacing w:val="2"/>
        </w:rPr>
        <w:t xml:space="preserve"> </w:t>
      </w:r>
      <w:r>
        <w:rPr>
          <w:spacing w:val="-1"/>
        </w:rPr>
        <w:t>individually</w:t>
      </w:r>
      <w:r>
        <w:rPr>
          <w:spacing w:val="-8"/>
        </w:rPr>
        <w:t xml:space="preserve"> </w:t>
      </w:r>
      <w:r>
        <w:rPr>
          <w:spacing w:val="2"/>
        </w:rPr>
        <w:t>or</w:t>
      </w:r>
      <w:r>
        <w:rPr>
          <w:spacing w:val="3"/>
        </w:rPr>
        <w:t xml:space="preserve"> </w:t>
      </w:r>
      <w:r>
        <w:rPr>
          <w:spacing w:val="-3"/>
        </w:rPr>
        <w:t xml:space="preserve">in </w:t>
      </w:r>
      <w:r>
        <w:t>groups</w:t>
      </w:r>
      <w:r>
        <w:rPr>
          <w:spacing w:val="-5"/>
        </w:rPr>
        <w:t xml:space="preserve"> </w:t>
      </w:r>
      <w:r>
        <w:rPr>
          <w:spacing w:val="5"/>
        </w:rPr>
        <w:t>to</w:t>
      </w:r>
      <w:r>
        <w:rPr>
          <w:spacing w:val="6"/>
        </w:rPr>
        <w:t xml:space="preserve"> </w:t>
      </w:r>
      <w:r>
        <w:rPr>
          <w:spacing w:val="-1"/>
        </w:rPr>
        <w:t>create</w:t>
      </w:r>
      <w:r>
        <w:rPr>
          <w:spacing w:val="1"/>
        </w:rPr>
        <w:t xml:space="preserve"> </w:t>
      </w:r>
      <w:r>
        <w:t>a</w:t>
      </w:r>
      <w:r>
        <w:rPr>
          <w:spacing w:val="-4"/>
        </w:rPr>
        <w:t xml:space="preserve"> </w:t>
      </w:r>
      <w:r>
        <w:rPr>
          <w:spacing w:val="-2"/>
        </w:rPr>
        <w:t>short</w:t>
      </w:r>
      <w:r>
        <w:rPr>
          <w:spacing w:val="7"/>
        </w:rPr>
        <w:t xml:space="preserve"> </w:t>
      </w:r>
      <w:r>
        <w:rPr>
          <w:spacing w:val="-2"/>
        </w:rPr>
        <w:t>video</w:t>
      </w:r>
      <w:r>
        <w:rPr>
          <w:spacing w:val="62"/>
        </w:rPr>
        <w:t xml:space="preserve"> </w:t>
      </w:r>
      <w:r>
        <w:rPr>
          <w:spacing w:val="-1"/>
        </w:rPr>
        <w:t>presenting</w:t>
      </w:r>
      <w:r>
        <w:rPr>
          <w:spacing w:val="2"/>
        </w:rPr>
        <w:t xml:space="preserve"> </w:t>
      </w:r>
      <w:r>
        <w:rPr>
          <w:spacing w:val="1"/>
        </w:rPr>
        <w:t>an</w:t>
      </w:r>
      <w:r>
        <w:rPr>
          <w:spacing w:val="2"/>
        </w:rPr>
        <w:t xml:space="preserve"> </w:t>
      </w:r>
      <w:r>
        <w:rPr>
          <w:spacing w:val="-1"/>
        </w:rPr>
        <w:t>important</w:t>
      </w:r>
      <w:r>
        <w:rPr>
          <w:spacing w:val="2"/>
        </w:rPr>
        <w:t xml:space="preserve"> </w:t>
      </w:r>
      <w:r>
        <w:rPr>
          <w:spacing w:val="-2"/>
        </w:rPr>
        <w:t>public</w:t>
      </w:r>
      <w:r>
        <w:rPr>
          <w:spacing w:val="6"/>
        </w:rPr>
        <w:t xml:space="preserve"> </w:t>
      </w:r>
      <w:r>
        <w:rPr>
          <w:spacing w:val="-1"/>
        </w:rPr>
        <w:t>health</w:t>
      </w:r>
      <w:r>
        <w:rPr>
          <w:spacing w:val="-3"/>
        </w:rPr>
        <w:t xml:space="preserve"> </w:t>
      </w:r>
      <w:r>
        <w:rPr>
          <w:spacing w:val="-1"/>
        </w:rPr>
        <w:t xml:space="preserve">problem relevant to global health, with particular focus on non-U.S. countries. The video should directly address the GE expected learning outcomes for this course by: (1) </w:t>
      </w:r>
      <w:r>
        <w:rPr>
          <w:rFonts w:cs="Times New Roman"/>
        </w:rPr>
        <w:t xml:space="preserve">highlighting some of the political, economic, cultural, physical, social, and philosophical aspects of an important public health problem in a non-U.S. context and (2) consider the role of national and international diversity in shaping how both the U.S., the country affected, and the world responds to this public health problem. </w:t>
      </w:r>
    </w:p>
    <w:p w:rsidR="00291E85" w:rsidRDefault="00291E85" w:rsidP="00630F6A">
      <w:pPr>
        <w:pStyle w:val="BodyText"/>
        <w:spacing w:before="69" w:line="237" w:lineRule="auto"/>
        <w:ind w:left="-180" w:right="132"/>
      </w:pPr>
    </w:p>
    <w:p w:rsidR="007842FD" w:rsidRDefault="007842FD"/>
    <w:p w:rsidR="007842FD" w:rsidRDefault="007842FD"/>
    <w:sectPr w:rsidR="007842FD" w:rsidSect="00CD059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6721E4"/>
    <w:multiLevelType w:val="hybridMultilevel"/>
    <w:tmpl w:val="A36E1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92"/>
    <w:rsid w:val="00135D3B"/>
    <w:rsid w:val="001B51B1"/>
    <w:rsid w:val="001F296E"/>
    <w:rsid w:val="00236EF8"/>
    <w:rsid w:val="00291E85"/>
    <w:rsid w:val="003C3044"/>
    <w:rsid w:val="004D7DEB"/>
    <w:rsid w:val="00553E78"/>
    <w:rsid w:val="00554B2E"/>
    <w:rsid w:val="005C5910"/>
    <w:rsid w:val="00630F6A"/>
    <w:rsid w:val="006340A1"/>
    <w:rsid w:val="007842FD"/>
    <w:rsid w:val="008A381E"/>
    <w:rsid w:val="008E3B58"/>
    <w:rsid w:val="00B27717"/>
    <w:rsid w:val="00CD0592"/>
    <w:rsid w:val="00F950EE"/>
    <w:rsid w:val="00FE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45418-D74B-4914-B6E5-8AA605BA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2FD"/>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630F6A"/>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630F6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0733">
      <w:bodyDiv w:val="1"/>
      <w:marLeft w:val="0"/>
      <w:marRight w:val="0"/>
      <w:marTop w:val="0"/>
      <w:marBottom w:val="0"/>
      <w:divBdr>
        <w:top w:val="none" w:sz="0" w:space="0" w:color="auto"/>
        <w:left w:val="none" w:sz="0" w:space="0" w:color="auto"/>
        <w:bottom w:val="none" w:sz="0" w:space="0" w:color="auto"/>
        <w:right w:val="none" w:sz="0" w:space="0" w:color="auto"/>
      </w:divBdr>
    </w:div>
    <w:div w:id="1419984370">
      <w:bodyDiv w:val="1"/>
      <w:marLeft w:val="0"/>
      <w:marRight w:val="0"/>
      <w:marTop w:val="0"/>
      <w:marBottom w:val="0"/>
      <w:divBdr>
        <w:top w:val="none" w:sz="0" w:space="0" w:color="auto"/>
        <w:left w:val="none" w:sz="0" w:space="0" w:color="auto"/>
        <w:bottom w:val="none" w:sz="0" w:space="0" w:color="auto"/>
        <w:right w:val="none" w:sz="0" w:space="0" w:color="auto"/>
      </w:divBdr>
    </w:div>
    <w:div w:id="170597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Ohio State University</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L. Williams</dc:creator>
  <cp:lastModifiedBy>Vankeerbergen, Bernadette</cp:lastModifiedBy>
  <cp:revision>4</cp:revision>
  <dcterms:created xsi:type="dcterms:W3CDTF">2016-03-18T16:59:00Z</dcterms:created>
  <dcterms:modified xsi:type="dcterms:W3CDTF">2016-03-21T13:54:00Z</dcterms:modified>
</cp:coreProperties>
</file>